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842" w:rsidRDefault="00EE2D4A">
      <w:pPr>
        <w:jc w:val="right"/>
      </w:pPr>
      <w:r>
        <w:rPr>
          <w:color w:val="666666"/>
          <w:sz w:val="18"/>
        </w:rPr>
        <w:t xml:space="preserve">JAMESTOWN AT DARIEN | </w:t>
      </w:r>
    </w:p>
    <w:p w:rsidR="00E36842" w:rsidRPr="002D3C3B" w:rsidRDefault="00EE2D4A">
      <w:pPr>
        <w:spacing w:before="560"/>
        <w:jc w:val="center"/>
        <w:rPr>
          <w:b/>
        </w:rPr>
      </w:pPr>
      <w:r>
        <w:rPr>
          <w:rFonts w:ascii="Georgia" w:hAnsi="Georgia"/>
          <w:b/>
          <w:color w:val="0D1B2A"/>
          <w:sz w:val="68"/>
        </w:rPr>
        <w:t>JAMESTOWN AT DARIEN</w:t>
      </w:r>
    </w:p>
    <w:p w:rsidR="00E36842" w:rsidRDefault="00EE2D4A">
      <w:pPr>
        <w:jc w:val="center"/>
      </w:pPr>
      <w:r>
        <w:rPr>
          <w:rFonts w:ascii="Georgia" w:hAnsi="Georgia"/>
          <w:color w:val="C49A45"/>
          <w:sz w:val="42"/>
        </w:rPr>
        <w:t>Executive Memorandum</w:t>
      </w:r>
    </w:p>
    <w:p w:rsidR="00E36842" w:rsidRDefault="00EE2D4A">
      <w:pPr>
        <w:spacing w:after="240"/>
        <w:jc w:val="center"/>
      </w:pPr>
      <w:r>
        <w:rPr>
          <w:color w:val="555555"/>
          <w:sz w:val="28"/>
        </w:rPr>
        <w:t xml:space="preserve"> Approved PUD | Coastal Georgia</w:t>
      </w:r>
    </w:p>
    <w:p w:rsidR="00E36842" w:rsidRDefault="00E36842">
      <w:pPr>
        <w:jc w:val="center"/>
      </w:pPr>
    </w:p>
    <w:p w:rsidR="002D3C3B" w:rsidRDefault="002D3C3B">
      <w:pPr>
        <w:jc w:val="center"/>
        <w:rPr>
          <w:b/>
          <w:color w:val="0D1B2A"/>
          <w:sz w:val="23"/>
        </w:rPr>
      </w:pPr>
    </w:p>
    <w:p w:rsidR="002D3C3B" w:rsidRDefault="00672706">
      <w:pPr>
        <w:jc w:val="center"/>
        <w:rPr>
          <w:b/>
          <w:color w:val="0D1B2A"/>
          <w:sz w:val="23"/>
        </w:rPr>
      </w:pPr>
      <w:r>
        <w:rPr>
          <w:b/>
          <w:noProof/>
          <w:color w:val="0D1B2A"/>
          <w:sz w:val="23"/>
        </w:rPr>
        <w:drawing>
          <wp:inline distT="0" distB="0" distL="0" distR="0">
            <wp:extent cx="6638290" cy="4425527"/>
            <wp:effectExtent l="0" t="0" r="0" b="0"/>
            <wp:docPr id="5" name="Picture 5" descr="C:\Users\DJ\Desktop\Darien\MArketing\fe8d63e3-986b-4b5f-b481-56a43d2502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\Desktop\Darien\MArketing\fe8d63e3-986b-4b5f-b481-56a43d25029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442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C3B" w:rsidRDefault="002D3C3B">
      <w:pPr>
        <w:jc w:val="center"/>
        <w:rPr>
          <w:b/>
          <w:color w:val="0D1B2A"/>
          <w:sz w:val="23"/>
        </w:rPr>
      </w:pPr>
    </w:p>
    <w:p w:rsidR="002D3C3B" w:rsidRDefault="002D3C3B">
      <w:pPr>
        <w:jc w:val="center"/>
        <w:rPr>
          <w:b/>
          <w:color w:val="0D1B2A"/>
          <w:sz w:val="23"/>
        </w:rPr>
      </w:pPr>
    </w:p>
    <w:p w:rsidR="00E36842" w:rsidRDefault="00EE2D4A">
      <w:pPr>
        <w:jc w:val="center"/>
      </w:pPr>
      <w:r>
        <w:rPr>
          <w:b/>
          <w:color w:val="C49A45"/>
          <w:sz w:val="20"/>
        </w:rPr>
        <w:t>Confidential and Proprietary</w:t>
      </w:r>
    </w:p>
    <w:p w:rsidR="00E36842" w:rsidRDefault="00EE2D4A">
      <w:r>
        <w:br w:type="page"/>
      </w:r>
    </w:p>
    <w:p w:rsidR="00E36842" w:rsidRDefault="00EE2D4A">
      <w:pPr>
        <w:pStyle w:val="Heading1"/>
        <w:spacing w:after="120"/>
      </w:pPr>
      <w:r>
        <w:rPr>
          <w:rFonts w:ascii="Georgia" w:hAnsi="Georgia"/>
          <w:sz w:val="40"/>
        </w:rPr>
        <w:lastRenderedPageBreak/>
        <w:t>Executive Development Dashboard</w:t>
      </w:r>
    </w:p>
    <w:p w:rsidR="00E36842" w:rsidRDefault="00E36842">
      <w:pPr>
        <w:spacing w:after="160" w:line="259" w:lineRule="auto"/>
        <w:rPr>
          <w:color w:val="222222"/>
        </w:rPr>
      </w:pPr>
    </w:p>
    <w:p w:rsidR="00672706" w:rsidRDefault="00672706">
      <w:pPr>
        <w:spacing w:after="160" w:line="259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80"/>
        <w:gridCol w:w="7590"/>
      </w:tblGrid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0D1B2A"/>
              <w:left w:val="single" w:sz="4" w:space="0" w:color="0D1B2A"/>
              <w:bottom w:val="single" w:sz="4" w:space="0" w:color="0D1B2A"/>
              <w:right w:val="single" w:sz="4" w:space="0" w:color="0D1B2A"/>
            </w:tcBorders>
            <w:shd w:val="clear" w:color="auto" w:fill="0D1B2A"/>
            <w:vAlign w:val="center"/>
          </w:tcPr>
          <w:p w:rsidR="00E36842" w:rsidRDefault="00EE2D4A">
            <w:r>
              <w:rPr>
                <w:b/>
                <w:color w:val="FFFFFF"/>
                <w:sz w:val="16"/>
              </w:rPr>
              <w:t>Metric</w:t>
            </w:r>
          </w:p>
        </w:tc>
        <w:tc>
          <w:tcPr>
            <w:tcW w:w="7590" w:type="dxa"/>
            <w:tcBorders>
              <w:top w:val="single" w:sz="4" w:space="0" w:color="0D1B2A"/>
              <w:left w:val="single" w:sz="4" w:space="0" w:color="0D1B2A"/>
              <w:bottom w:val="single" w:sz="4" w:space="0" w:color="0D1B2A"/>
              <w:right w:val="single" w:sz="4" w:space="0" w:color="0D1B2A"/>
            </w:tcBorders>
            <w:shd w:val="clear" w:color="auto" w:fill="0D1B2A"/>
            <w:vAlign w:val="center"/>
          </w:tcPr>
          <w:p w:rsidR="00E36842" w:rsidRDefault="00EE2D4A">
            <w:r>
              <w:rPr>
                <w:b/>
                <w:color w:val="FFFFFF"/>
                <w:sz w:val="16"/>
              </w:rPr>
              <w:t>Reported Detail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Property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Jamestown at Darien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Street Address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Highway 251, Darien, Georgia 31305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Seller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HD, a Desai Corporation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Jurisdiction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City of Darien / McIntosh County, Georgia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Market Position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Savannah-Brunswick Coastal Growth Corridor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Gross Surveyed Acreage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933.393± acres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Estimated Upland Acreage*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Approximately 750± acres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ALTA Survey Date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May 7, 2026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PUD Approval Date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April 23, 2026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Entitlement Status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Approved Planned Unit Development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Municipal Utility Framework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City of Darien water and sewer; capacity subject to verification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Interstate Frontage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Approximately 2,500 linear feet on Interstate 95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Additional Frontage / Access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Georgia Highway 251 and U.S. Highway 17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Residential Density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Up to 8 dwelling units per acre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Multifamily Density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Up to 24 units per acre</w:t>
            </w:r>
          </w:p>
        </w:tc>
      </w:tr>
      <w:tr w:rsidR="00E36842" w:rsidTr="00672706">
        <w:trPr>
          <w:trHeight w:val="89"/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Commercial Intensity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Up to 40,000 square feet per acre</w:t>
            </w:r>
          </w:p>
        </w:tc>
      </w:tr>
      <w:tr w:rsidR="00E36842" w:rsidTr="00672706">
        <w:trPr>
          <w:jc w:val="center"/>
        </w:trPr>
        <w:tc>
          <w:tcPr>
            <w:tcW w:w="30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Development Readiness</w:t>
            </w:r>
          </w:p>
        </w:tc>
        <w:tc>
          <w:tcPr>
            <w:tcW w:w="759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PUD approved, ALTA complete, conceptual master plan complete</w:t>
            </w:r>
          </w:p>
        </w:tc>
      </w:tr>
    </w:tbl>
    <w:p w:rsidR="00E36842" w:rsidRDefault="00EE2D4A">
      <w:r>
        <w:br w:type="page"/>
      </w:r>
    </w:p>
    <w:p w:rsidR="00E36842" w:rsidRDefault="00EE2D4A">
      <w:pPr>
        <w:pStyle w:val="Heading1"/>
        <w:spacing w:after="120"/>
      </w:pPr>
      <w:r>
        <w:rPr>
          <w:rFonts w:ascii="Georgia" w:hAnsi="Georgia"/>
          <w:sz w:val="40"/>
        </w:rPr>
        <w:lastRenderedPageBreak/>
        <w:t>Approved Development Rights and Product Optionality</w:t>
      </w:r>
    </w:p>
    <w:p w:rsidR="00E36842" w:rsidRDefault="00EE2D4A">
      <w:pPr>
        <w:spacing w:after="140" w:line="259" w:lineRule="auto"/>
        <w:rPr>
          <w:color w:val="222222"/>
        </w:rPr>
      </w:pPr>
      <w:r>
        <w:rPr>
          <w:color w:val="222222"/>
        </w:rPr>
        <w:t>The approved PUD creates a broad development framework intended to accommodate multiple product types a</w:t>
      </w:r>
      <w:r w:rsidR="00CB55E3">
        <w:rPr>
          <w:color w:val="222222"/>
        </w:rPr>
        <w:t>nd long-term market changes.</w:t>
      </w:r>
    </w:p>
    <w:p w:rsidR="00CB55E3" w:rsidRDefault="00CB55E3">
      <w:pPr>
        <w:spacing w:after="140" w:line="259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3"/>
        <w:gridCol w:w="2720"/>
        <w:gridCol w:w="5547"/>
      </w:tblGrid>
      <w:tr w:rsidR="00E36842">
        <w:trPr>
          <w:jc w:val="center"/>
        </w:trPr>
        <w:tc>
          <w:tcPr>
            <w:tcW w:w="2520" w:type="dxa"/>
            <w:tcBorders>
              <w:top w:val="single" w:sz="4" w:space="0" w:color="0D1B2A"/>
              <w:left w:val="single" w:sz="4" w:space="0" w:color="0D1B2A"/>
              <w:bottom w:val="single" w:sz="4" w:space="0" w:color="0D1B2A"/>
              <w:right w:val="single" w:sz="4" w:space="0" w:color="0D1B2A"/>
            </w:tcBorders>
            <w:shd w:val="clear" w:color="auto" w:fill="0D1B2A"/>
            <w:vAlign w:val="center"/>
          </w:tcPr>
          <w:p w:rsidR="00E36842" w:rsidRDefault="00EE2D4A">
            <w:r>
              <w:rPr>
                <w:b/>
                <w:color w:val="FFFFFF"/>
                <w:sz w:val="16"/>
              </w:rPr>
              <w:t>Use Category</w:t>
            </w:r>
          </w:p>
        </w:tc>
        <w:tc>
          <w:tcPr>
            <w:tcW w:w="2880" w:type="dxa"/>
            <w:tcBorders>
              <w:top w:val="single" w:sz="4" w:space="0" w:color="0D1B2A"/>
              <w:left w:val="single" w:sz="4" w:space="0" w:color="0D1B2A"/>
              <w:bottom w:val="single" w:sz="4" w:space="0" w:color="0D1B2A"/>
              <w:right w:val="single" w:sz="4" w:space="0" w:color="0D1B2A"/>
            </w:tcBorders>
            <w:shd w:val="clear" w:color="auto" w:fill="0D1B2A"/>
            <w:vAlign w:val="center"/>
          </w:tcPr>
          <w:p w:rsidR="00E36842" w:rsidRDefault="00EE2D4A">
            <w:r>
              <w:rPr>
                <w:b/>
                <w:color w:val="FFFFFF"/>
                <w:sz w:val="16"/>
              </w:rPr>
              <w:t>Entitlement Basis</w:t>
            </w:r>
          </w:p>
        </w:tc>
        <w:tc>
          <w:tcPr>
            <w:tcW w:w="5976" w:type="dxa"/>
            <w:tcBorders>
              <w:top w:val="single" w:sz="4" w:space="0" w:color="0D1B2A"/>
              <w:left w:val="single" w:sz="4" w:space="0" w:color="0D1B2A"/>
              <w:bottom w:val="single" w:sz="4" w:space="0" w:color="0D1B2A"/>
              <w:right w:val="single" w:sz="4" w:space="0" w:color="0D1B2A"/>
            </w:tcBorders>
            <w:shd w:val="clear" w:color="auto" w:fill="0D1B2A"/>
            <w:vAlign w:val="center"/>
          </w:tcPr>
          <w:p w:rsidR="00E36842" w:rsidRDefault="00EE2D4A">
            <w:r>
              <w:rPr>
                <w:b/>
                <w:color w:val="FFFFFF"/>
                <w:sz w:val="16"/>
              </w:rPr>
              <w:t>Potential Development Strategy</w:t>
            </w:r>
          </w:p>
        </w:tc>
      </w:tr>
      <w:tr w:rsidR="00E36842">
        <w:trPr>
          <w:jc w:val="center"/>
        </w:trPr>
        <w:tc>
          <w:tcPr>
            <w:tcW w:w="252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Single-Family Residential</w:t>
            </w:r>
          </w:p>
        </w:tc>
        <w:tc>
          <w:tcPr>
            <w:tcW w:w="28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Up to 8 dwelling units per acre</w:t>
            </w:r>
          </w:p>
        </w:tc>
        <w:tc>
          <w:tcPr>
            <w:tcW w:w="597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Detached residential villages, cottage product, active adult, lifestyle communities, production residential</w:t>
            </w:r>
          </w:p>
        </w:tc>
      </w:tr>
      <w:tr w:rsidR="00E36842">
        <w:trPr>
          <w:jc w:val="center"/>
        </w:trPr>
        <w:tc>
          <w:tcPr>
            <w:tcW w:w="252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Multifamily Residential</w:t>
            </w:r>
          </w:p>
        </w:tc>
        <w:tc>
          <w:tcPr>
            <w:tcW w:w="28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Up to 24 units per acre</w:t>
            </w:r>
          </w:p>
        </w:tc>
        <w:tc>
          <w:tcPr>
            <w:tcW w:w="597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Apartments, build-to-rent, workforce housing, active adult multifamily, townhome variants</w:t>
            </w:r>
          </w:p>
        </w:tc>
      </w:tr>
      <w:tr w:rsidR="00E36842">
        <w:trPr>
          <w:jc w:val="center"/>
        </w:trPr>
        <w:tc>
          <w:tcPr>
            <w:tcW w:w="252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Commercial Development</w:t>
            </w:r>
          </w:p>
        </w:tc>
        <w:tc>
          <w:tcPr>
            <w:tcW w:w="28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Up to 40,000 square feet per acre</w:t>
            </w:r>
          </w:p>
        </w:tc>
        <w:tc>
          <w:tcPr>
            <w:tcW w:w="597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Retail, restaurants, medical, professional office, hospitality, hotels, service commercial</w:t>
            </w:r>
          </w:p>
        </w:tc>
      </w:tr>
      <w:tr w:rsidR="00E36842">
        <w:trPr>
          <w:jc w:val="center"/>
        </w:trPr>
        <w:tc>
          <w:tcPr>
            <w:tcW w:w="252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Civic / Institutional</w:t>
            </w:r>
          </w:p>
        </w:tc>
        <w:tc>
          <w:tcPr>
            <w:tcW w:w="28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Permitted within PUD framework</w:t>
            </w:r>
          </w:p>
        </w:tc>
        <w:tc>
          <w:tcPr>
            <w:tcW w:w="597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Schools, municipal facilities, healthcare, YMCA or community facilities, public-serving uses</w:t>
            </w:r>
          </w:p>
        </w:tc>
      </w:tr>
      <w:tr w:rsidR="00E36842">
        <w:trPr>
          <w:jc w:val="center"/>
        </w:trPr>
        <w:tc>
          <w:tcPr>
            <w:tcW w:w="252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Recreational / Open Space</w:t>
            </w:r>
          </w:p>
        </w:tc>
        <w:tc>
          <w:tcPr>
            <w:tcW w:w="28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Permitted and shown conceptually</w:t>
            </w:r>
          </w:p>
        </w:tc>
        <w:tc>
          <w:tcPr>
            <w:tcW w:w="597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Lakes, canals, parks, trails, community recreation, sports and amenity corridors</w:t>
            </w:r>
          </w:p>
        </w:tc>
      </w:tr>
      <w:tr w:rsidR="00E36842">
        <w:trPr>
          <w:jc w:val="center"/>
        </w:trPr>
        <w:tc>
          <w:tcPr>
            <w:tcW w:w="252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Mixed-Use Development</w:t>
            </w:r>
          </w:p>
        </w:tc>
        <w:tc>
          <w:tcPr>
            <w:tcW w:w="288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Permitted</w:t>
            </w:r>
          </w:p>
        </w:tc>
        <w:tc>
          <w:tcPr>
            <w:tcW w:w="597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Village center, residential over retail, neighborhood services, commercial gateways</w:t>
            </w:r>
          </w:p>
        </w:tc>
      </w:tr>
    </w:tbl>
    <w:p w:rsidR="00E36842" w:rsidRDefault="00EE2D4A">
      <w:pPr>
        <w:jc w:val="center"/>
      </w:pPr>
      <w:r>
        <w:rPr>
          <w:noProof/>
        </w:rPr>
        <w:drawing>
          <wp:inline distT="0" distB="0" distL="0" distR="0">
            <wp:extent cx="6126480" cy="28868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elopment_rights_chart_final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88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842" w:rsidRDefault="00EE2D4A">
      <w:r>
        <w:br w:type="page"/>
      </w:r>
    </w:p>
    <w:p w:rsidR="00E36842" w:rsidRDefault="00EE2D4A">
      <w:pPr>
        <w:pStyle w:val="Heading1"/>
        <w:spacing w:after="120"/>
      </w:pPr>
      <w:r>
        <w:rPr>
          <w:rFonts w:ascii="Georgia" w:hAnsi="Georgia"/>
          <w:sz w:val="40"/>
        </w:rPr>
        <w:lastRenderedPageBreak/>
        <w:t>Regional Access and Economic Drivers</w:t>
      </w:r>
    </w:p>
    <w:p w:rsidR="00E36842" w:rsidRDefault="00EE2D4A">
      <w:pPr>
        <w:spacing w:after="140" w:line="259" w:lineRule="auto"/>
      </w:pPr>
      <w:r>
        <w:rPr>
          <w:color w:val="222222"/>
        </w:rPr>
        <w:t>Darien should be presented as a Coastal Georgia growth-corridor</w:t>
      </w:r>
      <w:r w:rsidR="00672706">
        <w:rPr>
          <w:color w:val="222222"/>
        </w:rPr>
        <w:t xml:space="preserve"> opportunity rather than a local isolated development</w:t>
      </w:r>
      <w:r>
        <w:rPr>
          <w:color w:val="222222"/>
        </w:rPr>
        <w:t>. The property is positioned to benefit from regional demand drivers in Brunswick, Savannah, the Golden Isles, and the Interstate 95 corridor.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64"/>
        <w:gridCol w:w="2176"/>
        <w:gridCol w:w="5630"/>
      </w:tblGrid>
      <w:tr w:rsidR="00E36842">
        <w:trPr>
          <w:jc w:val="center"/>
        </w:trPr>
        <w:tc>
          <w:tcPr>
            <w:tcW w:w="3024" w:type="dxa"/>
            <w:tcBorders>
              <w:top w:val="single" w:sz="4" w:space="0" w:color="0D1B2A"/>
              <w:left w:val="single" w:sz="4" w:space="0" w:color="0D1B2A"/>
              <w:bottom w:val="single" w:sz="4" w:space="0" w:color="0D1B2A"/>
              <w:right w:val="single" w:sz="4" w:space="0" w:color="0D1B2A"/>
            </w:tcBorders>
            <w:shd w:val="clear" w:color="auto" w:fill="0D1B2A"/>
            <w:vAlign w:val="center"/>
          </w:tcPr>
          <w:p w:rsidR="00E36842" w:rsidRDefault="00EE2D4A">
            <w:r>
              <w:rPr>
                <w:b/>
                <w:color w:val="FFFFFF"/>
                <w:sz w:val="16"/>
              </w:rPr>
              <w:t>Destination</w:t>
            </w:r>
          </w:p>
        </w:tc>
        <w:tc>
          <w:tcPr>
            <w:tcW w:w="2304" w:type="dxa"/>
            <w:tcBorders>
              <w:top w:val="single" w:sz="4" w:space="0" w:color="0D1B2A"/>
              <w:left w:val="single" w:sz="4" w:space="0" w:color="0D1B2A"/>
              <w:bottom w:val="single" w:sz="4" w:space="0" w:color="0D1B2A"/>
              <w:right w:val="single" w:sz="4" w:space="0" w:color="0D1B2A"/>
            </w:tcBorders>
            <w:shd w:val="clear" w:color="auto" w:fill="0D1B2A"/>
            <w:vAlign w:val="center"/>
          </w:tcPr>
          <w:p w:rsidR="00E36842" w:rsidRDefault="00EE2D4A">
            <w:r>
              <w:rPr>
                <w:b/>
                <w:color w:val="FFFFFF"/>
                <w:sz w:val="16"/>
              </w:rPr>
              <w:t>Approx. Drive Time</w:t>
            </w:r>
          </w:p>
        </w:tc>
        <w:tc>
          <w:tcPr>
            <w:tcW w:w="6048" w:type="dxa"/>
            <w:tcBorders>
              <w:top w:val="single" w:sz="4" w:space="0" w:color="0D1B2A"/>
              <w:left w:val="single" w:sz="4" w:space="0" w:color="0D1B2A"/>
              <w:bottom w:val="single" w:sz="4" w:space="0" w:color="0D1B2A"/>
              <w:right w:val="single" w:sz="4" w:space="0" w:color="0D1B2A"/>
            </w:tcBorders>
            <w:shd w:val="clear" w:color="auto" w:fill="0D1B2A"/>
            <w:vAlign w:val="center"/>
          </w:tcPr>
          <w:p w:rsidR="00E36842" w:rsidRDefault="00EE2D4A">
            <w:r>
              <w:rPr>
                <w:b/>
                <w:color w:val="FFFFFF"/>
                <w:sz w:val="16"/>
              </w:rPr>
              <w:t>Strategic Relevance</w:t>
            </w:r>
          </w:p>
        </w:tc>
      </w:tr>
      <w:tr w:rsidR="00E36842">
        <w:trPr>
          <w:jc w:val="center"/>
        </w:trPr>
        <w:tc>
          <w:tcPr>
            <w:tcW w:w="302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Downtown Darien</w:t>
            </w:r>
          </w:p>
        </w:tc>
        <w:tc>
          <w:tcPr>
            <w:tcW w:w="230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5 minutes</w:t>
            </w:r>
          </w:p>
        </w:tc>
        <w:tc>
          <w:tcPr>
            <w:tcW w:w="6048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Local services and municipal identity</w:t>
            </w:r>
          </w:p>
        </w:tc>
      </w:tr>
      <w:tr w:rsidR="00E36842">
        <w:trPr>
          <w:jc w:val="center"/>
        </w:trPr>
        <w:tc>
          <w:tcPr>
            <w:tcW w:w="302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Brunswick</w:t>
            </w:r>
          </w:p>
        </w:tc>
        <w:tc>
          <w:tcPr>
            <w:tcW w:w="230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25 minutes</w:t>
            </w:r>
          </w:p>
        </w:tc>
        <w:tc>
          <w:tcPr>
            <w:tcW w:w="6048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Regional employment and services</w:t>
            </w:r>
          </w:p>
        </w:tc>
      </w:tr>
      <w:tr w:rsidR="00E36842">
        <w:trPr>
          <w:jc w:val="center"/>
        </w:trPr>
        <w:tc>
          <w:tcPr>
            <w:tcW w:w="302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Port of Brunswick</w:t>
            </w:r>
          </w:p>
        </w:tc>
        <w:tc>
          <w:tcPr>
            <w:tcW w:w="230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30 minutes</w:t>
            </w:r>
          </w:p>
        </w:tc>
        <w:tc>
          <w:tcPr>
            <w:tcW w:w="6048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Automotive import/export, logistics, and transportation employment</w:t>
            </w:r>
          </w:p>
        </w:tc>
      </w:tr>
      <w:tr w:rsidR="00E36842">
        <w:trPr>
          <w:jc w:val="center"/>
        </w:trPr>
        <w:tc>
          <w:tcPr>
            <w:tcW w:w="302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FLETC</w:t>
            </w:r>
          </w:p>
        </w:tc>
        <w:tc>
          <w:tcPr>
            <w:tcW w:w="230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30 minutes</w:t>
            </w:r>
          </w:p>
        </w:tc>
        <w:tc>
          <w:tcPr>
            <w:tcW w:w="6048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Stable federal employment and training center</w:t>
            </w:r>
          </w:p>
        </w:tc>
      </w:tr>
      <w:tr w:rsidR="00E36842">
        <w:trPr>
          <w:jc w:val="center"/>
        </w:trPr>
        <w:tc>
          <w:tcPr>
            <w:tcW w:w="302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St. Simons Island</w:t>
            </w:r>
          </w:p>
        </w:tc>
        <w:tc>
          <w:tcPr>
            <w:tcW w:w="230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40 minutes</w:t>
            </w:r>
          </w:p>
        </w:tc>
        <w:tc>
          <w:tcPr>
            <w:tcW w:w="6048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Golden Isles lifestyle demand</w:t>
            </w:r>
          </w:p>
        </w:tc>
      </w:tr>
      <w:tr w:rsidR="00E36842">
        <w:trPr>
          <w:jc w:val="center"/>
        </w:trPr>
        <w:tc>
          <w:tcPr>
            <w:tcW w:w="302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Jekyll Island</w:t>
            </w:r>
          </w:p>
        </w:tc>
        <w:tc>
          <w:tcPr>
            <w:tcW w:w="230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45 minutes</w:t>
            </w:r>
          </w:p>
        </w:tc>
        <w:tc>
          <w:tcPr>
            <w:tcW w:w="6048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Tourism and coastal recreation</w:t>
            </w:r>
          </w:p>
        </w:tc>
      </w:tr>
      <w:tr w:rsidR="00E36842">
        <w:trPr>
          <w:jc w:val="center"/>
        </w:trPr>
        <w:tc>
          <w:tcPr>
            <w:tcW w:w="302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Richmond Hill</w:t>
            </w:r>
          </w:p>
        </w:tc>
        <w:tc>
          <w:tcPr>
            <w:tcW w:w="230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50 minutes</w:t>
            </w:r>
          </w:p>
        </w:tc>
        <w:tc>
          <w:tcPr>
            <w:tcW w:w="6048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Savannah-area residential growth node</w:t>
            </w:r>
          </w:p>
        </w:tc>
      </w:tr>
      <w:tr w:rsidR="00E36842">
        <w:trPr>
          <w:jc w:val="center"/>
        </w:trPr>
        <w:tc>
          <w:tcPr>
            <w:tcW w:w="302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Savannah Airport</w:t>
            </w:r>
          </w:p>
        </w:tc>
        <w:tc>
          <w:tcPr>
            <w:tcW w:w="230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60 minutes</w:t>
            </w:r>
          </w:p>
        </w:tc>
        <w:tc>
          <w:tcPr>
            <w:tcW w:w="6048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Regional air access</w:t>
            </w:r>
          </w:p>
        </w:tc>
      </w:tr>
      <w:tr w:rsidR="00E36842">
        <w:trPr>
          <w:jc w:val="center"/>
        </w:trPr>
        <w:tc>
          <w:tcPr>
            <w:tcW w:w="302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Downtown Savannah</w:t>
            </w:r>
          </w:p>
        </w:tc>
        <w:tc>
          <w:tcPr>
            <w:tcW w:w="230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60-70 minutes</w:t>
            </w:r>
          </w:p>
        </w:tc>
        <w:tc>
          <w:tcPr>
            <w:tcW w:w="6048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Logistics, tourism, employment, and institutional demand</w:t>
            </w:r>
          </w:p>
        </w:tc>
      </w:tr>
      <w:tr w:rsidR="00E36842">
        <w:trPr>
          <w:jc w:val="center"/>
        </w:trPr>
        <w:tc>
          <w:tcPr>
            <w:tcW w:w="302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Jacksonville Airport</w:t>
            </w:r>
          </w:p>
        </w:tc>
        <w:tc>
          <w:tcPr>
            <w:tcW w:w="2304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75-90 minutes</w:t>
            </w:r>
          </w:p>
        </w:tc>
        <w:tc>
          <w:tcPr>
            <w:tcW w:w="6048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Additional regional air access</w:t>
            </w:r>
          </w:p>
        </w:tc>
      </w:tr>
    </w:tbl>
    <w:p w:rsidR="00E36842" w:rsidRDefault="00EE2D4A">
      <w:pPr>
        <w:jc w:val="center"/>
      </w:pPr>
      <w:r>
        <w:rPr>
          <w:noProof/>
        </w:rPr>
        <w:drawing>
          <wp:inline distT="0" distB="0" distL="0" distR="0">
            <wp:extent cx="6217920" cy="350453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ional_access_chart_fin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50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842" w:rsidRDefault="00EE2D4A">
      <w:r>
        <w:br w:type="page"/>
      </w:r>
    </w:p>
    <w:p w:rsidR="00E36842" w:rsidRDefault="00EE2D4A">
      <w:pPr>
        <w:pStyle w:val="Heading1"/>
        <w:spacing w:after="120"/>
      </w:pPr>
      <w:r>
        <w:rPr>
          <w:rFonts w:ascii="Georgia" w:hAnsi="Georgia"/>
          <w:sz w:val="40"/>
        </w:rPr>
        <w:lastRenderedPageBreak/>
        <w:t>Primary Regional Demand Drivers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7"/>
        <w:gridCol w:w="7533"/>
      </w:tblGrid>
      <w:tr w:rsidR="00E36842" w:rsidTr="00672706">
        <w:trPr>
          <w:jc w:val="center"/>
        </w:trPr>
        <w:tc>
          <w:tcPr>
            <w:tcW w:w="3137" w:type="dxa"/>
            <w:tcBorders>
              <w:top w:val="single" w:sz="4" w:space="0" w:color="0D1B2A"/>
              <w:left w:val="single" w:sz="4" w:space="0" w:color="0D1B2A"/>
              <w:bottom w:val="single" w:sz="4" w:space="0" w:color="0D1B2A"/>
              <w:right w:val="single" w:sz="4" w:space="0" w:color="0D1B2A"/>
            </w:tcBorders>
            <w:shd w:val="clear" w:color="auto" w:fill="0D1B2A"/>
            <w:vAlign w:val="center"/>
          </w:tcPr>
          <w:p w:rsidR="00E36842" w:rsidRDefault="00EE2D4A">
            <w:r>
              <w:rPr>
                <w:b/>
                <w:color w:val="FFFFFF"/>
                <w:sz w:val="16"/>
              </w:rPr>
              <w:t>Economic Driver</w:t>
            </w:r>
          </w:p>
        </w:tc>
        <w:tc>
          <w:tcPr>
            <w:tcW w:w="7533" w:type="dxa"/>
            <w:tcBorders>
              <w:top w:val="single" w:sz="4" w:space="0" w:color="0D1B2A"/>
              <w:left w:val="single" w:sz="4" w:space="0" w:color="0D1B2A"/>
              <w:bottom w:val="single" w:sz="4" w:space="0" w:color="0D1B2A"/>
              <w:right w:val="single" w:sz="4" w:space="0" w:color="0D1B2A"/>
            </w:tcBorders>
            <w:shd w:val="clear" w:color="auto" w:fill="0D1B2A"/>
            <w:vAlign w:val="center"/>
          </w:tcPr>
          <w:p w:rsidR="00E36842" w:rsidRDefault="00EE2D4A">
            <w:r>
              <w:rPr>
                <w:b/>
                <w:color w:val="FFFFFF"/>
                <w:sz w:val="16"/>
              </w:rPr>
              <w:t>Strategic Significance</w:t>
            </w:r>
          </w:p>
        </w:tc>
      </w:tr>
      <w:tr w:rsidR="00E36842" w:rsidTr="00672706">
        <w:trPr>
          <w:jc w:val="center"/>
        </w:trPr>
        <w:tc>
          <w:tcPr>
            <w:tcW w:w="3137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Port of Savannah</w:t>
            </w:r>
          </w:p>
        </w:tc>
        <w:tc>
          <w:tcPr>
            <w:tcW w:w="7533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Container logistics, distribution, import/export growth, and broader Savannah-region employment demand</w:t>
            </w:r>
          </w:p>
        </w:tc>
      </w:tr>
      <w:tr w:rsidR="00E36842" w:rsidTr="00672706">
        <w:trPr>
          <w:jc w:val="center"/>
        </w:trPr>
        <w:tc>
          <w:tcPr>
            <w:tcW w:w="3137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Port of Brunswick</w:t>
            </w:r>
          </w:p>
        </w:tc>
        <w:tc>
          <w:tcPr>
            <w:tcW w:w="7533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Automotive / RoRo logistics, port-related employment, transportation and distribution demand</w:t>
            </w:r>
          </w:p>
        </w:tc>
      </w:tr>
      <w:tr w:rsidR="00E36842" w:rsidTr="00672706">
        <w:trPr>
          <w:jc w:val="center"/>
        </w:trPr>
        <w:tc>
          <w:tcPr>
            <w:tcW w:w="3137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Hyundai Motor Group Metaplant</w:t>
            </w:r>
          </w:p>
        </w:tc>
        <w:tc>
          <w:tcPr>
            <w:tcW w:w="7533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Multi-billion-dollar regional advanced manufacturing investment with broader supplier and housing impacts</w:t>
            </w:r>
          </w:p>
        </w:tc>
      </w:tr>
      <w:tr w:rsidR="00E36842" w:rsidTr="00672706">
        <w:trPr>
          <w:jc w:val="center"/>
        </w:trPr>
        <w:tc>
          <w:tcPr>
            <w:tcW w:w="3137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Gulfstream Aerospace</w:t>
            </w:r>
          </w:p>
        </w:tc>
        <w:tc>
          <w:tcPr>
            <w:tcW w:w="7533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Major Coastal Georgia employer and high-wage advanced manufacturing anchor</w:t>
            </w:r>
          </w:p>
        </w:tc>
      </w:tr>
      <w:tr w:rsidR="00E36842" w:rsidTr="00672706">
        <w:trPr>
          <w:jc w:val="center"/>
        </w:trPr>
        <w:tc>
          <w:tcPr>
            <w:tcW w:w="3137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FLETC</w:t>
            </w:r>
          </w:p>
        </w:tc>
        <w:tc>
          <w:tcPr>
            <w:tcW w:w="7533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Federal training center creating stable government-related demand in the Brunswick area</w:t>
            </w:r>
          </w:p>
        </w:tc>
      </w:tr>
      <w:tr w:rsidR="00E36842" w:rsidTr="00672706">
        <w:trPr>
          <w:jc w:val="center"/>
        </w:trPr>
        <w:tc>
          <w:tcPr>
            <w:tcW w:w="3137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Southeast Georgia Health System</w:t>
            </w:r>
          </w:p>
        </w:tc>
        <w:tc>
          <w:tcPr>
            <w:tcW w:w="7533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Regional healthcare provider and employment anchor</w:t>
            </w:r>
          </w:p>
        </w:tc>
      </w:tr>
      <w:tr w:rsidR="00E36842" w:rsidTr="00672706">
        <w:trPr>
          <w:jc w:val="center"/>
        </w:trPr>
        <w:tc>
          <w:tcPr>
            <w:tcW w:w="3137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b/>
                <w:sz w:val="16"/>
              </w:rPr>
              <w:t>Golden Isles Tourism Economy</w:t>
            </w:r>
          </w:p>
        </w:tc>
        <w:tc>
          <w:tcPr>
            <w:tcW w:w="7533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</w:tcPr>
          <w:p w:rsidR="00E36842" w:rsidRDefault="00EE2D4A">
            <w:r>
              <w:rPr>
                <w:sz w:val="16"/>
              </w:rPr>
              <w:t>Hospitality, recreation, second-home, and lifestyle demand from St. Simons, Sea Island, and Jekyll Island</w:t>
            </w:r>
          </w:p>
        </w:tc>
      </w:tr>
      <w:tr w:rsidR="00E36842" w:rsidTr="00672706">
        <w:trPr>
          <w:jc w:val="center"/>
        </w:trPr>
        <w:tc>
          <w:tcPr>
            <w:tcW w:w="3137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b/>
                <w:sz w:val="16"/>
              </w:rPr>
              <w:t>Interstate 95 Corridor</w:t>
            </w:r>
          </w:p>
        </w:tc>
        <w:tc>
          <w:tcPr>
            <w:tcW w:w="7533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4F6F8"/>
          </w:tcPr>
          <w:p w:rsidR="00E36842" w:rsidRDefault="00EE2D4A">
            <w:r>
              <w:rPr>
                <w:sz w:val="16"/>
              </w:rPr>
              <w:t>Major East Coast logistics and migration corridor supporting long-term corridor demand</w:t>
            </w:r>
          </w:p>
        </w:tc>
      </w:tr>
    </w:tbl>
    <w:p w:rsidR="00CB55E3" w:rsidRDefault="00CB55E3" w:rsidP="00672706">
      <w:pPr>
        <w:pStyle w:val="Heading1"/>
        <w:spacing w:after="120"/>
      </w:pPr>
    </w:p>
    <w:p w:rsidR="00672706" w:rsidRDefault="00120D0A" w:rsidP="00672706">
      <w:pPr>
        <w:pStyle w:val="Heading1"/>
        <w:spacing w:after="120"/>
      </w:pPr>
      <w:r>
        <w:t xml:space="preserve">Benefits </w:t>
      </w:r>
      <w:bookmarkStart w:id="0" w:name="_GoBack"/>
      <w:bookmarkEnd w:id="0"/>
      <w:r w:rsidR="00672706">
        <w:t>of Jamestown to the Region</w:t>
      </w:r>
    </w:p>
    <w:p w:rsidR="00672706" w:rsidRDefault="00672706" w:rsidP="00672706"/>
    <w:p w:rsidR="00672706" w:rsidRDefault="00672706" w:rsidP="00672706">
      <w:r>
        <w:t>Large portion of the site is dedicated to commercial development to help bring investor dollars to the region and support growing population with restaurants, shops, and essential needs.</w:t>
      </w:r>
    </w:p>
    <w:p w:rsidR="00672706" w:rsidRDefault="00672706" w:rsidP="00672706">
      <w:r>
        <w:t xml:space="preserve">Multifamily Residential approved to support growing manufacturing industries.  </w:t>
      </w:r>
    </w:p>
    <w:p w:rsidR="00672706" w:rsidRPr="00672706" w:rsidRDefault="00672706" w:rsidP="00672706"/>
    <w:p w:rsidR="00672706" w:rsidRDefault="00672706" w:rsidP="00672706"/>
    <w:p w:rsidR="00672706" w:rsidRDefault="00672706" w:rsidP="00672706"/>
    <w:p w:rsidR="00E36842" w:rsidRDefault="00EE2D4A" w:rsidP="00672706">
      <w:r>
        <w:rPr>
          <w:rFonts w:ascii="Georgia" w:hAnsi="Georgia"/>
          <w:sz w:val="30"/>
        </w:rPr>
        <w:t xml:space="preserve">Key Links </w:t>
      </w:r>
    </w:p>
    <w:p w:rsidR="00E36842" w:rsidRDefault="00EE2D4A">
      <w:pPr>
        <w:spacing w:after="20"/>
      </w:pPr>
      <w:r>
        <w:rPr>
          <w:color w:val="0D1B2A"/>
          <w:sz w:val="17"/>
        </w:rPr>
        <w:t>Georgia Ports Authority - https://gaports.com</w:t>
      </w:r>
    </w:p>
    <w:p w:rsidR="00E36842" w:rsidRDefault="00EE2D4A">
      <w:pPr>
        <w:spacing w:after="20"/>
      </w:pPr>
      <w:r>
        <w:rPr>
          <w:color w:val="0D1B2A"/>
          <w:sz w:val="17"/>
        </w:rPr>
        <w:t>Port of Brunswick - https://gaports.com/facilities/port-of-brunswick/</w:t>
      </w:r>
    </w:p>
    <w:p w:rsidR="00E36842" w:rsidRDefault="00EE2D4A">
      <w:pPr>
        <w:spacing w:after="20"/>
      </w:pPr>
      <w:r>
        <w:rPr>
          <w:color w:val="0D1B2A"/>
          <w:sz w:val="17"/>
        </w:rPr>
        <w:t>McIntosh County Industrial Development Authority - https://www.mcintoshga.com</w:t>
      </w:r>
    </w:p>
    <w:p w:rsidR="00E36842" w:rsidRDefault="00EE2D4A">
      <w:pPr>
        <w:spacing w:after="20"/>
      </w:pPr>
      <w:r>
        <w:rPr>
          <w:color w:val="0D1B2A"/>
          <w:sz w:val="17"/>
        </w:rPr>
        <w:t>City of Darien - https://www.cityofdarienga.com</w:t>
      </w:r>
    </w:p>
    <w:p w:rsidR="00E36842" w:rsidRDefault="00EE2D4A">
      <w:pPr>
        <w:spacing w:after="20"/>
      </w:pPr>
      <w:r>
        <w:rPr>
          <w:color w:val="0D1B2A"/>
          <w:sz w:val="17"/>
        </w:rPr>
        <w:t>FLETC Glynco - https://www.fletc.gov</w:t>
      </w:r>
    </w:p>
    <w:p w:rsidR="00E36842" w:rsidRDefault="00EE2D4A">
      <w:pPr>
        <w:spacing w:after="20"/>
      </w:pPr>
      <w:r>
        <w:rPr>
          <w:color w:val="0D1B2A"/>
          <w:sz w:val="17"/>
        </w:rPr>
        <w:t>Golden Isles Tourism - https://www.goldenisles.com</w:t>
      </w:r>
    </w:p>
    <w:p w:rsidR="00E36842" w:rsidRDefault="00EE2D4A">
      <w:pPr>
        <w:spacing w:after="20"/>
      </w:pPr>
      <w:r>
        <w:rPr>
          <w:color w:val="0D1B2A"/>
          <w:sz w:val="17"/>
        </w:rPr>
        <w:t>Southeast Georgia Health System - https://www.sghs.org</w:t>
      </w:r>
    </w:p>
    <w:sectPr w:rsidR="00E36842" w:rsidSect="00034616">
      <w:headerReference w:type="default" r:id="rId12"/>
      <w:footerReference w:type="default" r:id="rId13"/>
      <w:pgSz w:w="12240" w:h="15840"/>
      <w:pgMar w:top="936" w:right="893" w:bottom="835" w:left="8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A3C" w:rsidRDefault="00914A3C">
      <w:pPr>
        <w:spacing w:after="0" w:line="240" w:lineRule="auto"/>
      </w:pPr>
      <w:r>
        <w:separator/>
      </w:r>
    </w:p>
  </w:endnote>
  <w:endnote w:type="continuationSeparator" w:id="0">
    <w:p w:rsidR="00914A3C" w:rsidRDefault="00914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842" w:rsidRDefault="00E3684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A3C" w:rsidRDefault="00914A3C">
      <w:pPr>
        <w:spacing w:after="0" w:line="240" w:lineRule="auto"/>
      </w:pPr>
      <w:r>
        <w:separator/>
      </w:r>
    </w:p>
  </w:footnote>
  <w:footnote w:type="continuationSeparator" w:id="0">
    <w:p w:rsidR="00914A3C" w:rsidRDefault="00914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842" w:rsidRDefault="00EE2D4A">
    <w:pPr>
      <w:pStyle w:val="Header"/>
      <w:jc w:val="right"/>
    </w:pPr>
    <w:r>
      <w:rPr>
        <w:color w:val="666666"/>
        <w:sz w:val="17"/>
      </w:rPr>
      <w:t xml:space="preserve">JAMESTOWN AT DARIEN |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20D0A"/>
    <w:rsid w:val="001442A5"/>
    <w:rsid w:val="0015074B"/>
    <w:rsid w:val="0029639D"/>
    <w:rsid w:val="002D3C3B"/>
    <w:rsid w:val="00326F90"/>
    <w:rsid w:val="00672706"/>
    <w:rsid w:val="00914A3C"/>
    <w:rsid w:val="00AA1D8D"/>
    <w:rsid w:val="00B47730"/>
    <w:rsid w:val="00CB0664"/>
    <w:rsid w:val="00CB55E3"/>
    <w:rsid w:val="00E36842"/>
    <w:rsid w:val="00EE2D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D1B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D1B2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D1B2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D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D1B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D1B2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D1B2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D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3D712D-EE52-4CBB-AF4D-E963EC8E0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DJ Desai</cp:lastModifiedBy>
  <cp:revision>4</cp:revision>
  <dcterms:created xsi:type="dcterms:W3CDTF">2026-07-14T17:39:00Z</dcterms:created>
  <dcterms:modified xsi:type="dcterms:W3CDTF">2026-07-14T17:42:00Z</dcterms:modified>
</cp:coreProperties>
</file>